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A16892" w14:textId="77777777" w:rsidR="00F57744" w:rsidRDefault="00F02735" w:rsidP="00F02735">
      <w:pPr>
        <w:rPr>
          <w:rFonts w:ascii="仿宋" w:eastAsia="仿宋" w:hAnsi="仿宋"/>
        </w:rPr>
      </w:pPr>
      <w:r w:rsidRPr="00F02735">
        <w:rPr>
          <w:rFonts w:ascii="仿宋" w:eastAsia="仿宋" w:hAnsi="仿宋" w:hint="eastAsia"/>
        </w:rPr>
        <w:t>1、</w:t>
      </w:r>
    </w:p>
    <w:p w14:paraId="653977ED" w14:textId="3BE35062" w:rsidR="00662ACD" w:rsidRPr="00F02735" w:rsidRDefault="00F57744" w:rsidP="00F02735">
      <w:pPr>
        <w:rPr>
          <w:rFonts w:ascii="仿宋" w:eastAsia="仿宋" w:hAnsi="仿宋"/>
        </w:rPr>
      </w:pPr>
      <w:r>
        <w:rPr>
          <w:rFonts w:ascii="仿宋" w:eastAsia="仿宋" w:hAnsi="仿宋"/>
        </w:rPr>
        <w:t>A</w:t>
      </w:r>
      <w:r>
        <w:rPr>
          <w:rFonts w:ascii="仿宋" w:eastAsia="仿宋" w:hAnsi="仿宋" w:hint="eastAsia"/>
        </w:rPr>
        <w:t>、</w:t>
      </w:r>
      <w:r w:rsidR="00774531" w:rsidRPr="00F02735">
        <w:rPr>
          <w:rFonts w:ascii="仿宋" w:eastAsia="仿宋" w:hAnsi="仿宋" w:hint="eastAsia"/>
        </w:rPr>
        <w:t>我国现行交通管理体制的特点：</w:t>
      </w:r>
    </w:p>
    <w:p w14:paraId="77F48D11" w14:textId="77777777" w:rsidR="00B7224A" w:rsidRDefault="00B7224A" w:rsidP="00B7224A">
      <w:pPr>
        <w:rPr>
          <w:rFonts w:ascii="仿宋" w:eastAsia="仿宋" w:hAnsi="仿宋"/>
        </w:rPr>
      </w:pPr>
      <w:r w:rsidRPr="00B7224A">
        <w:rPr>
          <w:rFonts w:ascii="仿宋" w:eastAsia="仿宋" w:hAnsi="仿宋"/>
        </w:rPr>
        <w:t>中国现行的交通管理体制具有多层次、分工明确以及多部门协作的特点。</w:t>
      </w:r>
    </w:p>
    <w:p w14:paraId="3EC63BF6" w14:textId="55F724EE" w:rsidR="00B7224A" w:rsidRPr="00B7224A" w:rsidRDefault="00B7224A" w:rsidP="00B7224A">
      <w:pPr>
        <w:pStyle w:val="a9"/>
        <w:numPr>
          <w:ilvl w:val="0"/>
          <w:numId w:val="3"/>
        </w:numPr>
        <w:rPr>
          <w:rFonts w:ascii="仿宋" w:eastAsia="仿宋" w:hAnsi="仿宋"/>
        </w:rPr>
      </w:pPr>
      <w:r w:rsidRPr="00B7224A">
        <w:rPr>
          <w:rFonts w:ascii="仿宋" w:eastAsia="仿宋" w:hAnsi="仿宋"/>
        </w:rPr>
        <w:t>从管理结构来看，体制的组织方式涉及国家机关和企事业单位，通过明确的机构设置与管理权限的划分来实现有效治理，各组织在体制中分工合作，执行国家法律和相关政策。</w:t>
      </w:r>
    </w:p>
    <w:p w14:paraId="1F904F31" w14:textId="77777777" w:rsidR="002A7B0C" w:rsidRDefault="00B7224A" w:rsidP="00B7224A">
      <w:pPr>
        <w:pStyle w:val="a9"/>
        <w:numPr>
          <w:ilvl w:val="0"/>
          <w:numId w:val="3"/>
        </w:numPr>
        <w:rPr>
          <w:rFonts w:ascii="仿宋" w:eastAsia="仿宋" w:hAnsi="仿宋"/>
        </w:rPr>
      </w:pPr>
      <w:r w:rsidRPr="00B7224A">
        <w:rPr>
          <w:rFonts w:ascii="仿宋" w:eastAsia="仿宋" w:hAnsi="仿宋"/>
        </w:rPr>
        <w:t>管理的多样化体现在三种主要类型上，即交通行政管理、交通执法管理和交通运行管理。交通行政管理主要由政府机关负责，涉及对交通事务的决策、规划、监督和控制；交通执法管理则依据交通法规对道路上的车流、人流进行引导和控制，确保法律执行到位；交通运行管理则通过技术手段实施对交通系统设施的维护和协调整个交通运行状况。</w:t>
      </w:r>
    </w:p>
    <w:p w14:paraId="155CA0F9" w14:textId="49AE4884" w:rsidR="003207A0" w:rsidRDefault="00B7224A" w:rsidP="00B7224A">
      <w:pPr>
        <w:pStyle w:val="a9"/>
        <w:numPr>
          <w:ilvl w:val="0"/>
          <w:numId w:val="3"/>
        </w:numPr>
        <w:rPr>
          <w:rFonts w:ascii="仿宋" w:eastAsia="仿宋" w:hAnsi="仿宋"/>
        </w:rPr>
      </w:pPr>
      <w:r w:rsidRPr="00B7224A">
        <w:rPr>
          <w:rFonts w:ascii="仿宋" w:eastAsia="仿宋" w:hAnsi="仿宋"/>
        </w:rPr>
        <w:t>交通管理涉及到多个部门的综合合作，如交通运输部、公安部和住建部等部门共同参与交通管理，确保各自职责范围内的工作高效进行。公安部门负责交通秩序的维护，住建部门负责城市道路设施的管理等。这些部门之间通过明晰的职能划分和跨部门合作，形成了全面的交通管理体系。</w:t>
      </w:r>
    </w:p>
    <w:p w14:paraId="3EDF7245" w14:textId="580C9948" w:rsidR="00F57744" w:rsidRDefault="00F57744" w:rsidP="00F57744">
      <w:pPr>
        <w:rPr>
          <w:rFonts w:ascii="仿宋" w:eastAsia="仿宋" w:hAnsi="仿宋"/>
        </w:rPr>
      </w:pPr>
      <w:r>
        <w:rPr>
          <w:rFonts w:ascii="仿宋" w:eastAsia="仿宋" w:hAnsi="仿宋"/>
        </w:rPr>
        <w:t>B</w:t>
      </w:r>
      <w:r>
        <w:rPr>
          <w:rFonts w:ascii="仿宋" w:eastAsia="仿宋" w:hAnsi="仿宋" w:hint="eastAsia"/>
        </w:rPr>
        <w:t>、</w:t>
      </w:r>
      <w:r w:rsidR="005F33E9">
        <w:rPr>
          <w:rFonts w:ascii="仿宋" w:eastAsia="仿宋" w:hAnsi="仿宋" w:hint="eastAsia"/>
        </w:rPr>
        <w:t>广州放开电动自行车管理</w:t>
      </w:r>
      <w:r w:rsidR="004643BA">
        <w:rPr>
          <w:rFonts w:ascii="仿宋" w:eastAsia="仿宋" w:hAnsi="仿宋" w:hint="eastAsia"/>
        </w:rPr>
        <w:t>管制后出现的管理混乱问题：</w:t>
      </w:r>
    </w:p>
    <w:p w14:paraId="0DB9FEF2" w14:textId="53D26ACE" w:rsidR="004643BA" w:rsidRPr="004643BA" w:rsidRDefault="00CD13DC" w:rsidP="00F57744">
      <w:pPr>
        <w:rPr>
          <w:rFonts w:ascii="仿宋" w:eastAsia="仿宋" w:hAnsi="仿宋"/>
        </w:rPr>
      </w:pPr>
      <w:r>
        <w:rPr>
          <w:rFonts w:ascii="仿宋" w:eastAsia="仿宋" w:hAnsi="仿宋" w:hint="eastAsia"/>
        </w:rPr>
        <w:t>存在问题：</w:t>
      </w:r>
    </w:p>
    <w:p w14:paraId="3F398164" w14:textId="76636FD4" w:rsidR="00AD586B" w:rsidRDefault="00AD586B" w:rsidP="00AD586B">
      <w:pPr>
        <w:rPr>
          <w:rFonts w:ascii="仿宋" w:eastAsia="仿宋" w:hAnsi="仿宋"/>
        </w:rPr>
      </w:pPr>
      <w:r>
        <w:rPr>
          <w:rFonts w:ascii="仿宋" w:eastAsia="仿宋" w:hAnsi="仿宋" w:hint="eastAsia"/>
        </w:rPr>
        <w:t>（1）</w:t>
      </w:r>
      <w:r w:rsidRPr="00AD586B">
        <w:rPr>
          <w:rFonts w:ascii="仿宋" w:eastAsia="仿宋" w:hAnsi="仿宋"/>
        </w:rPr>
        <w:t>交通秩序混乱： 广州在放开对电动自行车的管控后，大量电动自行车涌入城市道路，由于交通参与者的行为不规范，导致交通秩序受到严重影响。常见的违规行为包括闯红灯、逆行、占用机动车道、不戴头盔、违规载人等。</w:t>
      </w:r>
    </w:p>
    <w:p w14:paraId="29E6706C" w14:textId="4FE8AF0E" w:rsidR="00AD586B" w:rsidRPr="00AD586B" w:rsidRDefault="00AD586B" w:rsidP="00AD586B">
      <w:pPr>
        <w:rPr>
          <w:rFonts w:ascii="仿宋" w:eastAsia="仿宋" w:hAnsi="仿宋"/>
        </w:rPr>
      </w:pPr>
      <w:r>
        <w:rPr>
          <w:rFonts w:ascii="仿宋" w:eastAsia="仿宋" w:hAnsi="仿宋" w:hint="eastAsia"/>
        </w:rPr>
        <w:t>（2）</w:t>
      </w:r>
      <w:r w:rsidRPr="00AD586B">
        <w:rPr>
          <w:rFonts w:ascii="仿宋" w:eastAsia="仿宋" w:hAnsi="仿宋"/>
        </w:rPr>
        <w:t>管理手段不足： 当前广州的交通管理手段主要依靠人工警力，这对于日益增加的电动自行车使用量显得力不从心。2022年，广州交警全年查处电动自行车交通违法行为超160万宗，平均每天查处4300多宗，管理资源显得非常紧张</w:t>
      </w:r>
      <w:r>
        <w:rPr>
          <w:rFonts w:ascii="仿宋" w:eastAsia="仿宋" w:hAnsi="仿宋" w:hint="eastAsia"/>
        </w:rPr>
        <w:t>。</w:t>
      </w:r>
    </w:p>
    <w:p w14:paraId="5D3B926F" w14:textId="31C6C813" w:rsidR="00AD586B" w:rsidRPr="00AD586B" w:rsidRDefault="00AD586B" w:rsidP="00AD586B">
      <w:pPr>
        <w:rPr>
          <w:rFonts w:ascii="仿宋" w:eastAsia="仿宋" w:hAnsi="仿宋"/>
        </w:rPr>
      </w:pPr>
      <w:r>
        <w:rPr>
          <w:rFonts w:ascii="仿宋" w:eastAsia="仿宋" w:hAnsi="仿宋" w:hint="eastAsia"/>
        </w:rPr>
        <w:t>（3）</w:t>
      </w:r>
      <w:r w:rsidRPr="00AD586B">
        <w:rPr>
          <w:rFonts w:ascii="仿宋" w:eastAsia="仿宋" w:hAnsi="仿宋"/>
        </w:rPr>
        <w:t>跨部门协作与管理体制不完善： 电动自行车的管理涉及多个部门，包括公安、交通运输、城市管理等部门。由于各部门之间的协作不充分，导致在政策执行和日常管理过程中出现职责不明和执行不力的问题。例如，对于电动自行车的停放管理，虽然市交通运输部门要求设置临时停放区，但实际的管理与执法效果不佳，许多电动自行车仍然随意停放在人行道和其他不允许的区域</w:t>
      </w:r>
      <w:r w:rsidRPr="00AD586B">
        <w:rPr>
          <w:rFonts w:ascii="Cambria Math" w:eastAsia="仿宋" w:hAnsi="Cambria Math" w:cs="Cambria Math"/>
        </w:rPr>
        <w:t>​</w:t>
      </w:r>
      <w:r>
        <w:rPr>
          <w:rFonts w:ascii="仿宋" w:eastAsia="仿宋" w:hAnsi="仿宋" w:hint="eastAsia"/>
        </w:rPr>
        <w:t>。</w:t>
      </w:r>
    </w:p>
    <w:p w14:paraId="7E885214" w14:textId="2C909BA8" w:rsidR="00AD586B" w:rsidRPr="00AD586B" w:rsidRDefault="00AD586B" w:rsidP="00AD586B">
      <w:pPr>
        <w:rPr>
          <w:rFonts w:ascii="仿宋" w:eastAsia="仿宋" w:hAnsi="仿宋"/>
        </w:rPr>
      </w:pPr>
      <w:r>
        <w:rPr>
          <w:rFonts w:ascii="仿宋" w:eastAsia="仿宋" w:hAnsi="仿宋" w:hint="eastAsia"/>
        </w:rPr>
        <w:t>（4）</w:t>
      </w:r>
      <w:r w:rsidRPr="00AD586B">
        <w:rPr>
          <w:rFonts w:ascii="仿宋" w:eastAsia="仿宋" w:hAnsi="仿宋"/>
        </w:rPr>
        <w:t>非法改装与安全隐患： 电动自行车的非法改装问题普遍存在，尤其是外卖和快递行业的车辆，很多车主为提高效率，对电动自行车进行了改装。这种改装往往不符合安全标准，导致充电过程和行驶过程中存在较大的安全隐患。</w:t>
      </w:r>
    </w:p>
    <w:p w14:paraId="1040C9C5" w14:textId="4DB7F75C" w:rsidR="00F57744" w:rsidRDefault="00AD586B" w:rsidP="00AD586B">
      <w:pPr>
        <w:rPr>
          <w:rFonts w:ascii="仿宋" w:eastAsia="仿宋" w:hAnsi="仿宋"/>
        </w:rPr>
      </w:pPr>
      <w:r>
        <w:rPr>
          <w:rFonts w:ascii="仿宋" w:eastAsia="仿宋" w:hAnsi="仿宋" w:hint="eastAsia"/>
        </w:rPr>
        <w:t>（5）</w:t>
      </w:r>
      <w:r w:rsidRPr="00AD586B">
        <w:rPr>
          <w:rFonts w:ascii="仿宋" w:eastAsia="仿宋" w:hAnsi="仿宋"/>
        </w:rPr>
        <w:t>政策落实难度大： 政府对电动自行车的政策如限行、规范停车和设立专用号牌等措施在执行过程中存在落实难的问题。特别是在不同区域、不同时段对电动自行车的管理没有形成统一的</w:t>
      </w:r>
      <w:r>
        <w:rPr>
          <w:rFonts w:ascii="仿宋" w:eastAsia="仿宋" w:hAnsi="仿宋" w:hint="eastAsia"/>
        </w:rPr>
        <w:t>标准。</w:t>
      </w:r>
    </w:p>
    <w:p w14:paraId="3B3B1782" w14:textId="2CFBA85E" w:rsidR="00AD586B" w:rsidRPr="00AD586B" w:rsidRDefault="00AD586B" w:rsidP="00AD586B">
      <w:pPr>
        <w:rPr>
          <w:rFonts w:ascii="仿宋" w:eastAsia="仿宋" w:hAnsi="仿宋"/>
        </w:rPr>
      </w:pPr>
      <w:r>
        <w:rPr>
          <w:rFonts w:ascii="仿宋" w:eastAsia="仿宋" w:hAnsi="仿宋" w:hint="eastAsia"/>
        </w:rPr>
        <w:lastRenderedPageBreak/>
        <w:t>改进建议：</w:t>
      </w:r>
    </w:p>
    <w:p w14:paraId="52AEC02A" w14:textId="66290D1B" w:rsidR="00AD586B" w:rsidRPr="00AD586B" w:rsidRDefault="00AD586B" w:rsidP="00AD586B">
      <w:pPr>
        <w:rPr>
          <w:rFonts w:ascii="仿宋" w:eastAsia="仿宋" w:hAnsi="仿宋"/>
        </w:rPr>
      </w:pPr>
      <w:r>
        <w:rPr>
          <w:rFonts w:ascii="仿宋" w:eastAsia="仿宋" w:hAnsi="仿宋" w:hint="eastAsia"/>
        </w:rPr>
        <w:t>（1）</w:t>
      </w:r>
      <w:r w:rsidRPr="00AD586B">
        <w:rPr>
          <w:rFonts w:ascii="仿宋" w:eastAsia="仿宋" w:hAnsi="仿宋"/>
        </w:rPr>
        <w:t>引入电子监控手段： 可以考虑借鉴上海等地的做法，引入电子警察系统和人脸识别技术，自动记录和监控电动自行车的交通违法行为。</w:t>
      </w:r>
    </w:p>
    <w:p w14:paraId="69DD2AA8" w14:textId="291151AD" w:rsidR="00AD586B" w:rsidRPr="00AD586B" w:rsidRDefault="00AD586B" w:rsidP="00AD586B">
      <w:pPr>
        <w:rPr>
          <w:rFonts w:ascii="仿宋" w:eastAsia="仿宋" w:hAnsi="仿宋"/>
        </w:rPr>
      </w:pPr>
      <w:r>
        <w:rPr>
          <w:rFonts w:ascii="仿宋" w:eastAsia="仿宋" w:hAnsi="仿宋" w:hint="eastAsia"/>
        </w:rPr>
        <w:t>（2）</w:t>
      </w:r>
      <w:r w:rsidRPr="00AD586B">
        <w:rPr>
          <w:rFonts w:ascii="仿宋" w:eastAsia="仿宋" w:hAnsi="仿宋"/>
        </w:rPr>
        <w:t>加强宣传教育： 需要大力开展关于电动自行车安全行驶的宣传，提高市民的交通安全意识。尤其是外卖和快递从业者，应当定期接受交通安全培训，以确保其在工作中遵守交通法规</w:t>
      </w:r>
      <w:r>
        <w:rPr>
          <w:rFonts w:ascii="Cambria Math" w:eastAsia="仿宋" w:hAnsi="Cambria Math" w:cs="Cambria Math" w:hint="eastAsia"/>
        </w:rPr>
        <w:t>。</w:t>
      </w:r>
    </w:p>
    <w:p w14:paraId="0B7AE499" w14:textId="46BED1ED" w:rsidR="00AD586B" w:rsidRPr="00AD586B" w:rsidRDefault="00AD586B" w:rsidP="00AD586B">
      <w:pPr>
        <w:rPr>
          <w:rFonts w:ascii="仿宋" w:eastAsia="仿宋" w:hAnsi="仿宋"/>
        </w:rPr>
      </w:pPr>
      <w:r>
        <w:rPr>
          <w:rFonts w:ascii="仿宋" w:eastAsia="仿宋" w:hAnsi="仿宋" w:hint="eastAsia"/>
        </w:rPr>
        <w:t>（3）</w:t>
      </w:r>
      <w:r w:rsidRPr="00AD586B">
        <w:rPr>
          <w:rFonts w:ascii="仿宋" w:eastAsia="仿宋" w:hAnsi="仿宋"/>
        </w:rPr>
        <w:t>完善停车与充电设施： 在城市内增加规范的停车与充电设施，尤其是在居民区和商业区等电动自行车集中的地方，以减少乱停放和私拉电线充电的现象。政府应出台政策并提供资金支持，以鼓励社区和物业主动建设电动自行车的停车和充电设施</w:t>
      </w:r>
      <w:r w:rsidRPr="00AD586B">
        <w:rPr>
          <w:rFonts w:ascii="Cambria Math" w:eastAsia="仿宋" w:hAnsi="Cambria Math" w:cs="Cambria Math"/>
        </w:rPr>
        <w:t>​</w:t>
      </w:r>
      <w:r>
        <w:rPr>
          <w:rFonts w:ascii="仿宋" w:eastAsia="仿宋" w:hAnsi="仿宋" w:hint="eastAsia"/>
        </w:rPr>
        <w:t>。</w:t>
      </w:r>
    </w:p>
    <w:p w14:paraId="4FC9F361" w14:textId="1D987643" w:rsidR="00F57744" w:rsidRPr="00AD586B" w:rsidRDefault="00AD586B" w:rsidP="00AD586B">
      <w:pPr>
        <w:rPr>
          <w:rFonts w:ascii="仿宋" w:eastAsia="仿宋" w:hAnsi="仿宋"/>
        </w:rPr>
      </w:pPr>
      <w:r>
        <w:rPr>
          <w:rFonts w:ascii="仿宋" w:eastAsia="仿宋" w:hAnsi="仿宋" w:hint="eastAsia"/>
        </w:rPr>
        <w:t>（4）</w:t>
      </w:r>
      <w:r w:rsidRPr="00AD586B">
        <w:rPr>
          <w:rFonts w:ascii="仿宋" w:eastAsia="仿宋" w:hAnsi="仿宋"/>
        </w:rPr>
        <w:t>跨部门协作： 政府部门之间需要加强协作和信息共享，明确各部门的职责和任务，特别是对于停车管理、充电设施管理、非法改装车辆的监督等工作，需形成统一的执法标准和流程，以提高政策的执行效果。</w:t>
      </w:r>
    </w:p>
    <w:p w14:paraId="633AAE73" w14:textId="77777777" w:rsidR="00AD586B" w:rsidRDefault="00AD586B" w:rsidP="00F57744">
      <w:pPr>
        <w:rPr>
          <w:rFonts w:ascii="仿宋" w:eastAsia="仿宋" w:hAnsi="仿宋"/>
        </w:rPr>
      </w:pPr>
    </w:p>
    <w:p w14:paraId="1698DE0D" w14:textId="6194D277" w:rsidR="00AD586B" w:rsidRPr="00AD586B" w:rsidRDefault="00AD586B" w:rsidP="00F57744">
      <w:pPr>
        <w:rPr>
          <w:rFonts w:ascii="仿宋" w:eastAsia="仿宋" w:hAnsi="仿宋"/>
        </w:rPr>
      </w:pPr>
      <w:r>
        <w:rPr>
          <w:rFonts w:ascii="仿宋" w:eastAsia="仿宋" w:hAnsi="仿宋" w:hint="eastAsia"/>
        </w:rPr>
        <w:t>2、</w:t>
      </w:r>
      <w:r w:rsidRPr="00AD586B">
        <w:rPr>
          <w:rFonts w:ascii="仿宋" w:eastAsia="仿宋" w:hAnsi="仿宋"/>
        </w:rPr>
        <w:t>饮酒和醉酒驾车的严重性和危害性。</w:t>
      </w:r>
    </w:p>
    <w:p w14:paraId="5F91AF8C" w14:textId="095097E7" w:rsidR="00AD586B" w:rsidRPr="00AD586B" w:rsidRDefault="00AD586B" w:rsidP="00AD586B">
      <w:pPr>
        <w:rPr>
          <w:rFonts w:ascii="仿宋" w:eastAsia="仿宋" w:hAnsi="仿宋"/>
        </w:rPr>
      </w:pPr>
      <w:r>
        <w:rPr>
          <w:rFonts w:ascii="仿宋" w:eastAsia="仿宋" w:hAnsi="仿宋" w:hint="eastAsia"/>
        </w:rPr>
        <w:t>（1）</w:t>
      </w:r>
      <w:r w:rsidRPr="00AD586B">
        <w:rPr>
          <w:rFonts w:ascii="仿宋" w:eastAsia="仿宋" w:hAnsi="仿宋"/>
        </w:rPr>
        <w:t>在酒精影响下，驾驶员发生交通事故的风险显著增加。例如，血液酒精浓度（BAC）为0.08的驾驶员发生事故的概率是BAC为0的驾驶员的4倍，而当BAC达到0.15时，发生事故的风险至少是BAC为0驾驶员的12倍</w:t>
      </w:r>
      <w:r w:rsidRPr="00AD586B">
        <w:rPr>
          <w:rFonts w:ascii="Cambria Math" w:eastAsia="仿宋" w:hAnsi="Cambria Math" w:cs="Cambria Math"/>
        </w:rPr>
        <w:t>​</w:t>
      </w:r>
      <w:r>
        <w:rPr>
          <w:rFonts w:ascii="仿宋" w:eastAsia="仿宋" w:hAnsi="仿宋" w:hint="eastAsia"/>
        </w:rPr>
        <w:t>。</w:t>
      </w:r>
      <w:r w:rsidRPr="00AD586B">
        <w:rPr>
          <w:rFonts w:ascii="仿宋" w:eastAsia="仿宋" w:hAnsi="仿宋"/>
        </w:rPr>
        <w:t>在美国，约32%的交通事故死亡与醉酒驾驶有关。仅在2022年，由醉酒驾驶导致的交通事故共造成13,524人死亡，相当于每39分钟就有一人因醉酒驾驶失去生命</w:t>
      </w:r>
      <w:r w:rsidRPr="00AD586B">
        <w:rPr>
          <w:rFonts w:ascii="Cambria Math" w:eastAsia="仿宋" w:hAnsi="Cambria Math" w:cs="Cambria Math"/>
        </w:rPr>
        <w:t>​</w:t>
      </w:r>
      <w:r>
        <w:rPr>
          <w:rFonts w:ascii="仿宋" w:eastAsia="仿宋" w:hAnsi="仿宋" w:hint="eastAsia"/>
        </w:rPr>
        <w:t>。</w:t>
      </w:r>
    </w:p>
    <w:p w14:paraId="2E2E6762" w14:textId="6A1ABB4F" w:rsidR="00AD586B" w:rsidRPr="00AD586B" w:rsidRDefault="00AD586B" w:rsidP="00AD586B">
      <w:pPr>
        <w:rPr>
          <w:rFonts w:ascii="仿宋" w:eastAsia="仿宋" w:hAnsi="仿宋"/>
        </w:rPr>
      </w:pPr>
      <w:r>
        <w:rPr>
          <w:rFonts w:ascii="仿宋" w:eastAsia="仿宋" w:hAnsi="仿宋" w:hint="eastAsia"/>
        </w:rPr>
        <w:t>（2）</w:t>
      </w:r>
      <w:r w:rsidRPr="00AD586B">
        <w:rPr>
          <w:rFonts w:ascii="仿宋" w:eastAsia="仿宋" w:hAnsi="仿宋"/>
        </w:rPr>
        <w:t>反应时间和判断力的影响：</w:t>
      </w:r>
      <w:r>
        <w:rPr>
          <w:rFonts w:ascii="仿宋" w:eastAsia="仿宋" w:hAnsi="仿宋" w:hint="eastAsia"/>
        </w:rPr>
        <w:t>酒精</w:t>
      </w:r>
      <w:r w:rsidRPr="00AD586B">
        <w:rPr>
          <w:rFonts w:ascii="仿宋" w:eastAsia="仿宋" w:hAnsi="仿宋"/>
        </w:rPr>
        <w:t>会降低驾驶员的判断力、反应时间和协调性。即使是较低的血液酒精浓度（如0.02 g/dL），也会影响驾驶员的注意力和视觉功能</w:t>
      </w:r>
      <w:r>
        <w:rPr>
          <w:rFonts w:ascii="仿宋" w:eastAsia="仿宋" w:hAnsi="仿宋" w:hint="eastAsia"/>
        </w:rPr>
        <w:t>；</w:t>
      </w:r>
      <w:r w:rsidRPr="00AD586B">
        <w:rPr>
          <w:rFonts w:ascii="仿宋" w:eastAsia="仿宋" w:hAnsi="仿宋"/>
        </w:rPr>
        <w:t>在BAC为0.08的情况下，驾驶员的反应时间和控制能力显著下降，影响驾驶的协调性、判断力和应对突发情况的能力。例如，在酒精的影响下，驾驶员更难保持车辆在车道内稳定行驶，刹车反应也变得迟缓</w:t>
      </w:r>
      <w:r w:rsidRPr="00AD586B">
        <w:rPr>
          <w:rFonts w:ascii="Cambria Math" w:eastAsia="仿宋" w:hAnsi="Cambria Math" w:cs="Cambria Math"/>
        </w:rPr>
        <w:t>​</w:t>
      </w:r>
      <w:r>
        <w:rPr>
          <w:rFonts w:ascii="仿宋" w:eastAsia="仿宋" w:hAnsi="仿宋" w:hint="eastAsia"/>
        </w:rPr>
        <w:t>。</w:t>
      </w:r>
    </w:p>
    <w:p w14:paraId="393552F4" w14:textId="7FE3D535" w:rsidR="00AD586B" w:rsidRPr="00AD586B" w:rsidRDefault="00AD586B" w:rsidP="00AD586B">
      <w:pPr>
        <w:rPr>
          <w:rFonts w:ascii="仿宋" w:eastAsia="仿宋" w:hAnsi="仿宋"/>
        </w:rPr>
      </w:pPr>
      <w:r>
        <w:rPr>
          <w:rFonts w:ascii="仿宋" w:eastAsia="仿宋" w:hAnsi="仿宋" w:hint="eastAsia"/>
        </w:rPr>
        <w:t>（3）</w:t>
      </w:r>
      <w:r w:rsidRPr="00AD586B">
        <w:rPr>
          <w:rFonts w:ascii="仿宋" w:eastAsia="仿宋" w:hAnsi="仿宋"/>
        </w:rPr>
        <w:t>醉酒驾驶事故的经济成本：除了造成严重的人身伤害和生命损失外，醉酒驾驶还对社会造成了巨大的经济成本。在2019年，美国因醉酒驾驶导致的交通事故损失估计高达68.9亿美元，包括医疗费用、执法成本、财产损失和因失去工作所带来的生产力损失</w:t>
      </w:r>
      <w:r>
        <w:rPr>
          <w:rFonts w:ascii="仿宋" w:eastAsia="仿宋" w:hAnsi="仿宋" w:hint="eastAsia"/>
        </w:rPr>
        <w:t>。</w:t>
      </w:r>
    </w:p>
    <w:p w14:paraId="7BFD63F1" w14:textId="4A8DEDDB" w:rsidR="00AD586B" w:rsidRDefault="00AD586B" w:rsidP="00AD586B">
      <w:pPr>
        <w:rPr>
          <w:rFonts w:ascii="仿宋" w:eastAsia="仿宋" w:hAnsi="仿宋"/>
        </w:rPr>
      </w:pPr>
      <w:r>
        <w:rPr>
          <w:rFonts w:ascii="仿宋" w:eastAsia="仿宋" w:hAnsi="仿宋" w:hint="eastAsia"/>
        </w:rPr>
        <w:t>（4）</w:t>
      </w:r>
      <w:r w:rsidRPr="00AD586B">
        <w:rPr>
          <w:rFonts w:ascii="仿宋" w:eastAsia="仿宋" w:hAnsi="仿宋"/>
        </w:rPr>
        <w:t>全球交通事故中的比例：世界卫生组织（WHO）指出，醉酒驾驶是全球道路伤害的主要风险因素，占所有道路伤害的约27%。这些伤害不仅影响驾驶员本身，还经常涉及无辜的乘客和行人</w:t>
      </w:r>
      <w:r>
        <w:rPr>
          <w:rFonts w:ascii="仿宋" w:eastAsia="仿宋" w:hAnsi="仿宋" w:hint="eastAsia"/>
        </w:rPr>
        <w:t>。</w:t>
      </w:r>
    </w:p>
    <w:p w14:paraId="11026EB9" w14:textId="77777777" w:rsidR="00AD586B" w:rsidRDefault="00AD586B" w:rsidP="00F57744">
      <w:pPr>
        <w:rPr>
          <w:rFonts w:ascii="仿宋" w:eastAsia="仿宋" w:hAnsi="仿宋"/>
        </w:rPr>
      </w:pPr>
    </w:p>
    <w:p w14:paraId="3EBD9135" w14:textId="77777777" w:rsidR="004053DE" w:rsidRDefault="004053DE" w:rsidP="00F57744">
      <w:pPr>
        <w:rPr>
          <w:rFonts w:ascii="仿宋" w:eastAsia="仿宋" w:hAnsi="仿宋"/>
        </w:rPr>
      </w:pPr>
    </w:p>
    <w:p w14:paraId="6F6D0DD3" w14:textId="4B88244F" w:rsidR="004053DE" w:rsidRDefault="004053DE" w:rsidP="00F57744">
      <w:pPr>
        <w:rPr>
          <w:rFonts w:ascii="仿宋" w:eastAsia="仿宋" w:hAnsi="仿宋"/>
        </w:rPr>
      </w:pPr>
      <w:r>
        <w:rPr>
          <w:rFonts w:ascii="仿宋" w:eastAsia="仿宋" w:hAnsi="仿宋" w:hint="eastAsia"/>
        </w:rPr>
        <w:lastRenderedPageBreak/>
        <w:t>3、</w:t>
      </w:r>
    </w:p>
    <w:p w14:paraId="49E85159" w14:textId="522D4572" w:rsidR="004053DE" w:rsidRDefault="004053DE" w:rsidP="00F57744">
      <w:pPr>
        <w:rPr>
          <w:rFonts w:ascii="仿宋" w:eastAsia="仿宋" w:hAnsi="仿宋"/>
        </w:rPr>
      </w:pPr>
      <w:r>
        <w:rPr>
          <w:rFonts w:ascii="仿宋" w:eastAsia="仿宋" w:hAnsi="仿宋" w:hint="eastAsia"/>
        </w:rPr>
        <w:t>（1）</w:t>
      </w:r>
    </w:p>
    <w:p w14:paraId="59C8EC00" w14:textId="0496553C" w:rsidR="00935DD3" w:rsidRDefault="0084356C" w:rsidP="00F57744">
      <w:pPr>
        <w:rPr>
          <w:rFonts w:ascii="仿宋" w:eastAsia="仿宋" w:hAnsi="仿宋"/>
        </w:rPr>
      </w:pPr>
      <w:r>
        <w:rPr>
          <w:rFonts w:ascii="仿宋" w:eastAsia="仿宋" w:hAnsi="仿宋" w:hint="eastAsia"/>
        </w:rPr>
        <w:t>A</w:t>
      </w:r>
      <w:r w:rsidR="00B22F12">
        <w:rPr>
          <w:rFonts w:ascii="仿宋" w:eastAsia="仿宋" w:hAnsi="仿宋" w:hint="eastAsia"/>
        </w:rPr>
        <w:t>、</w:t>
      </w:r>
      <w:r>
        <w:rPr>
          <w:rFonts w:ascii="仿宋" w:eastAsia="仿宋" w:hAnsi="仿宋" w:hint="eastAsia"/>
        </w:rPr>
        <w:t>主体身份：</w:t>
      </w:r>
    </w:p>
    <w:p w14:paraId="50A16D70" w14:textId="05DD9055" w:rsidR="0084356C" w:rsidRDefault="0084356C" w:rsidP="00F57744">
      <w:pPr>
        <w:rPr>
          <w:rFonts w:ascii="仿宋" w:eastAsia="仿宋" w:hAnsi="仿宋"/>
        </w:rPr>
      </w:pPr>
      <w:r>
        <w:rPr>
          <w:rFonts w:ascii="仿宋" w:eastAsia="仿宋" w:hAnsi="仿宋" w:hint="eastAsia"/>
        </w:rPr>
        <w:t>违反交通运输管理法规造成重大事故的人，包括公路、水上运输人员等。</w:t>
      </w:r>
    </w:p>
    <w:p w14:paraId="131BADD6" w14:textId="6FB6E648" w:rsidR="0084356C" w:rsidRDefault="0084356C" w:rsidP="00F57744">
      <w:pPr>
        <w:rPr>
          <w:rFonts w:ascii="仿宋" w:eastAsia="仿宋" w:hAnsi="仿宋"/>
        </w:rPr>
      </w:pPr>
      <w:r>
        <w:rPr>
          <w:rFonts w:ascii="仿宋" w:eastAsia="仿宋" w:hAnsi="仿宋" w:hint="eastAsia"/>
        </w:rPr>
        <w:t>非航空或铁路工作人员造成重大飞行或铁路事故的，成立本罪。</w:t>
      </w:r>
    </w:p>
    <w:p w14:paraId="66B60E8F" w14:textId="1F05FAE7" w:rsidR="0084356C" w:rsidRDefault="0084356C" w:rsidP="00F57744">
      <w:pPr>
        <w:rPr>
          <w:rFonts w:ascii="仿宋" w:eastAsia="仿宋" w:hAnsi="仿宋"/>
        </w:rPr>
      </w:pPr>
      <w:r>
        <w:rPr>
          <w:rFonts w:ascii="仿宋" w:eastAsia="仿宋" w:hAnsi="仿宋" w:hint="eastAsia"/>
        </w:rPr>
        <w:t>偷开机动车造成事故、单位主管强令违章驾驶造成事故等情况下均成立交通肇事罪。</w:t>
      </w:r>
    </w:p>
    <w:p w14:paraId="4862AC1B" w14:textId="22F5041D" w:rsidR="0084356C" w:rsidRDefault="0084356C" w:rsidP="00F57744">
      <w:pPr>
        <w:rPr>
          <w:rFonts w:ascii="仿宋" w:eastAsia="仿宋" w:hAnsi="仿宋"/>
        </w:rPr>
      </w:pPr>
      <w:r>
        <w:rPr>
          <w:rFonts w:ascii="仿宋" w:eastAsia="仿宋" w:hAnsi="仿宋" w:hint="eastAsia"/>
        </w:rPr>
        <w:t>非交通运输人员也可以成为交通肇事罪的主体，只要违反交通管理法规。</w:t>
      </w:r>
    </w:p>
    <w:p w14:paraId="5D4350B8" w14:textId="70770766" w:rsidR="0084356C" w:rsidRDefault="00B22F12" w:rsidP="00F57744">
      <w:pPr>
        <w:rPr>
          <w:rFonts w:ascii="仿宋" w:eastAsia="仿宋" w:hAnsi="仿宋"/>
        </w:rPr>
      </w:pPr>
      <w:r>
        <w:rPr>
          <w:rFonts w:ascii="仿宋" w:eastAsia="仿宋" w:hAnsi="仿宋" w:hint="eastAsia"/>
        </w:rPr>
        <w:t>B、</w:t>
      </w:r>
      <w:r w:rsidR="0084356C">
        <w:rPr>
          <w:rFonts w:ascii="仿宋" w:eastAsia="仿宋" w:hAnsi="仿宋" w:hint="eastAsia"/>
        </w:rPr>
        <w:t>违反交通法规：</w:t>
      </w:r>
    </w:p>
    <w:p w14:paraId="768BCCCF" w14:textId="6E5CEF2E" w:rsidR="0084356C" w:rsidRDefault="0084356C" w:rsidP="00F57744">
      <w:pPr>
        <w:rPr>
          <w:rFonts w:ascii="仿宋" w:eastAsia="仿宋" w:hAnsi="仿宋"/>
        </w:rPr>
      </w:pPr>
      <w:r>
        <w:rPr>
          <w:rFonts w:ascii="仿宋" w:eastAsia="仿宋" w:hAnsi="仿宋" w:hint="eastAsia"/>
        </w:rPr>
        <w:t>必须有违反交通运输管理法规的行为，法规包括公路、水上、铁路、航空等各种管理规定。</w:t>
      </w:r>
    </w:p>
    <w:p w14:paraId="19A7B26E" w14:textId="3DF7BF0C" w:rsidR="0084356C" w:rsidRDefault="00B22F12" w:rsidP="00F57744">
      <w:pPr>
        <w:rPr>
          <w:rFonts w:ascii="仿宋" w:eastAsia="仿宋" w:hAnsi="仿宋"/>
        </w:rPr>
      </w:pPr>
      <w:r>
        <w:rPr>
          <w:rFonts w:ascii="仿宋" w:eastAsia="仿宋" w:hAnsi="仿宋" w:hint="eastAsia"/>
        </w:rPr>
        <w:t>C、</w:t>
      </w:r>
      <w:r w:rsidR="0084356C">
        <w:rPr>
          <w:rFonts w:ascii="仿宋" w:eastAsia="仿宋" w:hAnsi="仿宋" w:hint="eastAsia"/>
        </w:rPr>
        <w:t>重大交通事故：</w:t>
      </w:r>
    </w:p>
    <w:p w14:paraId="5450E587" w14:textId="60BF718B" w:rsidR="0084356C" w:rsidRDefault="0084356C" w:rsidP="00F57744">
      <w:pPr>
        <w:rPr>
          <w:rFonts w:ascii="仿宋" w:eastAsia="仿宋" w:hAnsi="仿宋"/>
        </w:rPr>
      </w:pPr>
      <w:r>
        <w:rPr>
          <w:rFonts w:ascii="仿宋" w:eastAsia="仿宋" w:hAnsi="仿宋" w:hint="eastAsia"/>
        </w:rPr>
        <w:t>必须发生重大事故，包括致人重伤、死亡或重大财产损失。单纯违反法规行为不足以构成犯罪。</w:t>
      </w:r>
    </w:p>
    <w:p w14:paraId="32C29EE0" w14:textId="63041423" w:rsidR="0084356C" w:rsidRDefault="004724F6" w:rsidP="00F57744">
      <w:pPr>
        <w:rPr>
          <w:rFonts w:ascii="仿宋" w:eastAsia="仿宋" w:hAnsi="仿宋"/>
        </w:rPr>
      </w:pPr>
      <w:r>
        <w:rPr>
          <w:rFonts w:ascii="仿宋" w:eastAsia="仿宋" w:hAnsi="仿宋"/>
        </w:rPr>
        <w:t>D</w:t>
      </w:r>
      <w:r>
        <w:rPr>
          <w:rFonts w:ascii="仿宋" w:eastAsia="仿宋" w:hAnsi="仿宋" w:hint="eastAsia"/>
        </w:rPr>
        <w:t>、</w:t>
      </w:r>
      <w:r w:rsidR="0084356C">
        <w:rPr>
          <w:rFonts w:ascii="仿宋" w:eastAsia="仿宋" w:hAnsi="仿宋" w:hint="eastAsia"/>
        </w:rPr>
        <w:t>事故发生情形：</w:t>
      </w:r>
    </w:p>
    <w:p w14:paraId="2B977EBD" w14:textId="1B55B132" w:rsidR="0084356C" w:rsidRDefault="0084356C" w:rsidP="00F57744">
      <w:pPr>
        <w:rPr>
          <w:rFonts w:ascii="仿宋" w:eastAsia="仿宋" w:hAnsi="仿宋"/>
        </w:rPr>
      </w:pPr>
      <w:r>
        <w:rPr>
          <w:rFonts w:ascii="仿宋" w:eastAsia="仿宋" w:hAnsi="仿宋" w:hint="eastAsia"/>
        </w:rPr>
        <w:t>重大事故必须在交通过程或与交通有直接关系的活动中发生。</w:t>
      </w:r>
    </w:p>
    <w:p w14:paraId="1E5D43D4" w14:textId="7D1FC8A7" w:rsidR="0084356C" w:rsidRDefault="0084356C" w:rsidP="00F57744">
      <w:pPr>
        <w:rPr>
          <w:rFonts w:ascii="仿宋" w:eastAsia="仿宋" w:hAnsi="仿宋"/>
        </w:rPr>
      </w:pPr>
      <w:r>
        <w:rPr>
          <w:rFonts w:ascii="仿宋" w:eastAsia="仿宋" w:hAnsi="仿宋" w:hint="eastAsia"/>
        </w:rPr>
        <w:t>非机动车违章造成事故，如果发生在公共交通管理范围内且危害公共安全，应认定为交通肇事罪。</w:t>
      </w:r>
    </w:p>
    <w:p w14:paraId="0B6A09A0" w14:textId="147B94FD" w:rsidR="0084356C" w:rsidRDefault="004724F6" w:rsidP="00F57744">
      <w:pPr>
        <w:rPr>
          <w:rFonts w:ascii="仿宋" w:eastAsia="仿宋" w:hAnsi="仿宋"/>
        </w:rPr>
      </w:pPr>
      <w:r>
        <w:rPr>
          <w:rFonts w:ascii="仿宋" w:eastAsia="仿宋" w:hAnsi="仿宋" w:hint="eastAsia"/>
        </w:rPr>
        <w:t>E、</w:t>
      </w:r>
      <w:r w:rsidR="0084356C">
        <w:rPr>
          <w:rFonts w:ascii="仿宋" w:eastAsia="仿宋" w:hAnsi="仿宋" w:hint="eastAsia"/>
        </w:rPr>
        <w:t>因果关系：</w:t>
      </w:r>
    </w:p>
    <w:p w14:paraId="5D859E2B" w14:textId="77777777" w:rsidR="004724F6" w:rsidRDefault="0084356C" w:rsidP="00F57744">
      <w:pPr>
        <w:rPr>
          <w:rFonts w:ascii="仿宋" w:eastAsia="仿宋" w:hAnsi="仿宋"/>
        </w:rPr>
      </w:pPr>
      <w:r>
        <w:rPr>
          <w:rFonts w:ascii="仿宋" w:eastAsia="仿宋" w:hAnsi="仿宋" w:hint="eastAsia"/>
        </w:rPr>
        <w:t>事故结果必须由违反法规的行为引起，且该结果应在法规保护的目的范围内。</w:t>
      </w:r>
    </w:p>
    <w:p w14:paraId="7F00FE52" w14:textId="1204CEFE" w:rsidR="0084356C" w:rsidRDefault="0084356C" w:rsidP="00F57744">
      <w:pPr>
        <w:rPr>
          <w:rFonts w:ascii="仿宋" w:eastAsia="仿宋" w:hAnsi="仿宋"/>
        </w:rPr>
      </w:pPr>
      <w:r>
        <w:rPr>
          <w:rFonts w:ascii="仿宋" w:eastAsia="仿宋" w:hAnsi="仿宋" w:hint="eastAsia"/>
        </w:rPr>
        <w:t>若结果的发生超出规范保护目的，则不构成交通肇事罪（如酒后驾驶但事故由其他无法预见的因素引起）。</w:t>
      </w:r>
    </w:p>
    <w:p w14:paraId="04976503" w14:textId="6F317ED3" w:rsidR="009C71BD" w:rsidRDefault="009C71BD" w:rsidP="00F57744">
      <w:pPr>
        <w:rPr>
          <w:rFonts w:ascii="仿宋" w:eastAsia="仿宋" w:hAnsi="仿宋"/>
        </w:rPr>
      </w:pPr>
      <w:r>
        <w:rPr>
          <w:rFonts w:ascii="仿宋" w:eastAsia="仿宋" w:hAnsi="仿宋" w:hint="eastAsia"/>
        </w:rPr>
        <w:t>（2）</w:t>
      </w:r>
    </w:p>
    <w:p w14:paraId="192CFC19" w14:textId="77777777" w:rsidR="00953A42" w:rsidRDefault="00953A42" w:rsidP="00F57744">
      <w:pPr>
        <w:rPr>
          <w:rFonts w:ascii="仿宋" w:eastAsia="仿宋" w:hAnsi="仿宋"/>
        </w:rPr>
      </w:pPr>
      <w:r>
        <w:rPr>
          <w:rFonts w:ascii="仿宋" w:eastAsia="仿宋" w:hAnsi="仿宋" w:hint="eastAsia"/>
        </w:rPr>
        <w:t>林某的行为应当以交通肇事罪定罪处罚，并因其逃逸导致被害人未得到及时救助而死亡，应判处七年以上有期徒刑。</w:t>
      </w:r>
    </w:p>
    <w:p w14:paraId="328C3345" w14:textId="4884334D" w:rsidR="00AD586B" w:rsidRPr="00F57744" w:rsidRDefault="00953A42" w:rsidP="00F57744">
      <w:pPr>
        <w:rPr>
          <w:rFonts w:ascii="仿宋" w:eastAsia="仿宋" w:hAnsi="仿宋" w:hint="eastAsia"/>
        </w:rPr>
      </w:pPr>
      <w:r>
        <w:rPr>
          <w:rFonts w:ascii="仿宋" w:eastAsia="仿宋" w:hAnsi="仿宋" w:hint="eastAsia"/>
        </w:rPr>
        <w:t>林某在驾驶摩托车时违反交通运输管理法规，超速并操作不当，导致交通事故发生，致使荣某受伤，这符合《刑法》第一百三十三条交通肇事罪的构成要件。此外，林某在肇事后没有积极救助或报警，而是选择逃逸，导致荣某未能得到及时救助并最终死亡，符合《司法解释》第五条关于“因逃逸致人死亡”的情节，应从重处罚，处以七年以上有期徒刑。</w:t>
      </w:r>
    </w:p>
    <w:sectPr w:rsidR="00AD586B" w:rsidRPr="00F5774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7D72BC"/>
    <w:multiLevelType w:val="hybridMultilevel"/>
    <w:tmpl w:val="6DF0F5CA"/>
    <w:lvl w:ilvl="0" w:tplc="6EE23DB4">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11744928"/>
    <w:multiLevelType w:val="hybridMultilevel"/>
    <w:tmpl w:val="9CC25234"/>
    <w:lvl w:ilvl="0" w:tplc="AB904E98">
      <w:start w:val="1"/>
      <w:numFmt w:val="decimal"/>
      <w:lvlText w:val="（%1）"/>
      <w:lvlJc w:val="left"/>
      <w:pPr>
        <w:ind w:left="560" w:hanging="5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17152968"/>
    <w:multiLevelType w:val="hybridMultilevel"/>
    <w:tmpl w:val="A27E64AE"/>
    <w:lvl w:ilvl="0" w:tplc="5B24081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204147773">
    <w:abstractNumId w:val="2"/>
  </w:num>
  <w:num w:numId="2" w16cid:durableId="731659292">
    <w:abstractNumId w:val="0"/>
  </w:num>
  <w:num w:numId="3" w16cid:durableId="5018215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ACD"/>
    <w:rsid w:val="00050499"/>
    <w:rsid w:val="00151831"/>
    <w:rsid w:val="002A350A"/>
    <w:rsid w:val="002A7B0C"/>
    <w:rsid w:val="003207A0"/>
    <w:rsid w:val="003269D9"/>
    <w:rsid w:val="00331DF6"/>
    <w:rsid w:val="00356327"/>
    <w:rsid w:val="0038001C"/>
    <w:rsid w:val="004053DE"/>
    <w:rsid w:val="004151CC"/>
    <w:rsid w:val="004643BA"/>
    <w:rsid w:val="004724F6"/>
    <w:rsid w:val="005F33E9"/>
    <w:rsid w:val="00662ACD"/>
    <w:rsid w:val="007031DD"/>
    <w:rsid w:val="00774531"/>
    <w:rsid w:val="00806E55"/>
    <w:rsid w:val="0084356C"/>
    <w:rsid w:val="00935DD3"/>
    <w:rsid w:val="00953A42"/>
    <w:rsid w:val="009C71BD"/>
    <w:rsid w:val="00AD1D47"/>
    <w:rsid w:val="00AD586B"/>
    <w:rsid w:val="00B22F12"/>
    <w:rsid w:val="00B7224A"/>
    <w:rsid w:val="00B81E7C"/>
    <w:rsid w:val="00C12F65"/>
    <w:rsid w:val="00CB0529"/>
    <w:rsid w:val="00CD13DC"/>
    <w:rsid w:val="00CD497A"/>
    <w:rsid w:val="00D74A37"/>
    <w:rsid w:val="00DA0A25"/>
    <w:rsid w:val="00E407CD"/>
    <w:rsid w:val="00F02735"/>
    <w:rsid w:val="00F57744"/>
    <w:rsid w:val="00F723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D0D38CE"/>
  <w15:chartTrackingRefBased/>
  <w15:docId w15:val="{14379006-8423-994F-BCDF-080B7048D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662AC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662AC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662AC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662ACD"/>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662ACD"/>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662ACD"/>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662ACD"/>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662ACD"/>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662ACD"/>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62ACD"/>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662ACD"/>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662ACD"/>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662ACD"/>
    <w:rPr>
      <w:rFonts w:cstheme="majorBidi"/>
      <w:color w:val="0F4761" w:themeColor="accent1" w:themeShade="BF"/>
      <w:sz w:val="28"/>
      <w:szCs w:val="28"/>
    </w:rPr>
  </w:style>
  <w:style w:type="character" w:customStyle="1" w:styleId="50">
    <w:name w:val="标题 5 字符"/>
    <w:basedOn w:val="a0"/>
    <w:link w:val="5"/>
    <w:uiPriority w:val="9"/>
    <w:semiHidden/>
    <w:rsid w:val="00662ACD"/>
    <w:rPr>
      <w:rFonts w:cstheme="majorBidi"/>
      <w:color w:val="0F4761" w:themeColor="accent1" w:themeShade="BF"/>
      <w:sz w:val="24"/>
    </w:rPr>
  </w:style>
  <w:style w:type="character" w:customStyle="1" w:styleId="60">
    <w:name w:val="标题 6 字符"/>
    <w:basedOn w:val="a0"/>
    <w:link w:val="6"/>
    <w:uiPriority w:val="9"/>
    <w:semiHidden/>
    <w:rsid w:val="00662ACD"/>
    <w:rPr>
      <w:rFonts w:cstheme="majorBidi"/>
      <w:b/>
      <w:bCs/>
      <w:color w:val="0F4761" w:themeColor="accent1" w:themeShade="BF"/>
    </w:rPr>
  </w:style>
  <w:style w:type="character" w:customStyle="1" w:styleId="70">
    <w:name w:val="标题 7 字符"/>
    <w:basedOn w:val="a0"/>
    <w:link w:val="7"/>
    <w:uiPriority w:val="9"/>
    <w:semiHidden/>
    <w:rsid w:val="00662ACD"/>
    <w:rPr>
      <w:rFonts w:cstheme="majorBidi"/>
      <w:b/>
      <w:bCs/>
      <w:color w:val="595959" w:themeColor="text1" w:themeTint="A6"/>
    </w:rPr>
  </w:style>
  <w:style w:type="character" w:customStyle="1" w:styleId="80">
    <w:name w:val="标题 8 字符"/>
    <w:basedOn w:val="a0"/>
    <w:link w:val="8"/>
    <w:uiPriority w:val="9"/>
    <w:semiHidden/>
    <w:rsid w:val="00662ACD"/>
    <w:rPr>
      <w:rFonts w:cstheme="majorBidi"/>
      <w:color w:val="595959" w:themeColor="text1" w:themeTint="A6"/>
    </w:rPr>
  </w:style>
  <w:style w:type="character" w:customStyle="1" w:styleId="90">
    <w:name w:val="标题 9 字符"/>
    <w:basedOn w:val="a0"/>
    <w:link w:val="9"/>
    <w:uiPriority w:val="9"/>
    <w:semiHidden/>
    <w:rsid w:val="00662ACD"/>
    <w:rPr>
      <w:rFonts w:eastAsiaTheme="majorEastAsia" w:cstheme="majorBidi"/>
      <w:color w:val="595959" w:themeColor="text1" w:themeTint="A6"/>
    </w:rPr>
  </w:style>
  <w:style w:type="paragraph" w:styleId="a3">
    <w:name w:val="Title"/>
    <w:basedOn w:val="a"/>
    <w:next w:val="a"/>
    <w:link w:val="a4"/>
    <w:uiPriority w:val="10"/>
    <w:qFormat/>
    <w:rsid w:val="00662AC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662AC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62AC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662AC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62ACD"/>
    <w:pPr>
      <w:spacing w:before="160"/>
      <w:jc w:val="center"/>
    </w:pPr>
    <w:rPr>
      <w:i/>
      <w:iCs/>
      <w:color w:val="404040" w:themeColor="text1" w:themeTint="BF"/>
    </w:rPr>
  </w:style>
  <w:style w:type="character" w:customStyle="1" w:styleId="a8">
    <w:name w:val="引用 字符"/>
    <w:basedOn w:val="a0"/>
    <w:link w:val="a7"/>
    <w:uiPriority w:val="29"/>
    <w:rsid w:val="00662ACD"/>
    <w:rPr>
      <w:i/>
      <w:iCs/>
      <w:color w:val="404040" w:themeColor="text1" w:themeTint="BF"/>
    </w:rPr>
  </w:style>
  <w:style w:type="paragraph" w:styleId="a9">
    <w:name w:val="List Paragraph"/>
    <w:basedOn w:val="a"/>
    <w:uiPriority w:val="34"/>
    <w:qFormat/>
    <w:rsid w:val="00662ACD"/>
    <w:pPr>
      <w:ind w:left="720"/>
      <w:contextualSpacing/>
    </w:pPr>
  </w:style>
  <w:style w:type="character" w:styleId="aa">
    <w:name w:val="Intense Emphasis"/>
    <w:basedOn w:val="a0"/>
    <w:uiPriority w:val="21"/>
    <w:qFormat/>
    <w:rsid w:val="00662ACD"/>
    <w:rPr>
      <w:i/>
      <w:iCs/>
      <w:color w:val="0F4761" w:themeColor="accent1" w:themeShade="BF"/>
    </w:rPr>
  </w:style>
  <w:style w:type="paragraph" w:styleId="ab">
    <w:name w:val="Intense Quote"/>
    <w:basedOn w:val="a"/>
    <w:next w:val="a"/>
    <w:link w:val="ac"/>
    <w:uiPriority w:val="30"/>
    <w:qFormat/>
    <w:rsid w:val="00662A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662ACD"/>
    <w:rPr>
      <w:i/>
      <w:iCs/>
      <w:color w:val="0F4761" w:themeColor="accent1" w:themeShade="BF"/>
    </w:rPr>
  </w:style>
  <w:style w:type="character" w:styleId="ad">
    <w:name w:val="Intense Reference"/>
    <w:basedOn w:val="a0"/>
    <w:uiPriority w:val="32"/>
    <w:qFormat/>
    <w:rsid w:val="00662ACD"/>
    <w:rPr>
      <w:b/>
      <w:bCs/>
      <w:smallCaps/>
      <w:color w:val="0F4761" w:themeColor="accent1" w:themeShade="BF"/>
      <w:spacing w:val="5"/>
    </w:rPr>
  </w:style>
  <w:style w:type="character" w:styleId="ae">
    <w:name w:val="Hyperlink"/>
    <w:basedOn w:val="a0"/>
    <w:uiPriority w:val="99"/>
    <w:unhideWhenUsed/>
    <w:rsid w:val="00AD586B"/>
    <w:rPr>
      <w:color w:val="467886" w:themeColor="hyperlink"/>
      <w:u w:val="single"/>
    </w:rPr>
  </w:style>
  <w:style w:type="character" w:styleId="af">
    <w:name w:val="Unresolved Mention"/>
    <w:basedOn w:val="a0"/>
    <w:uiPriority w:val="99"/>
    <w:semiHidden/>
    <w:unhideWhenUsed/>
    <w:rsid w:val="00AD58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1703833">
      <w:bodyDiv w:val="1"/>
      <w:marLeft w:val="0"/>
      <w:marRight w:val="0"/>
      <w:marTop w:val="0"/>
      <w:marBottom w:val="0"/>
      <w:divBdr>
        <w:top w:val="none" w:sz="0" w:space="0" w:color="auto"/>
        <w:left w:val="none" w:sz="0" w:space="0" w:color="auto"/>
        <w:bottom w:val="none" w:sz="0" w:space="0" w:color="auto"/>
        <w:right w:val="none" w:sz="0" w:space="0" w:color="auto"/>
      </w:divBdr>
      <w:divsChild>
        <w:div w:id="1946182876">
          <w:marLeft w:val="0"/>
          <w:marRight w:val="0"/>
          <w:marTop w:val="0"/>
          <w:marBottom w:val="0"/>
          <w:divBdr>
            <w:top w:val="none" w:sz="0" w:space="0" w:color="auto"/>
            <w:left w:val="none" w:sz="0" w:space="0" w:color="auto"/>
            <w:bottom w:val="none" w:sz="0" w:space="0" w:color="auto"/>
            <w:right w:val="none" w:sz="0" w:space="0" w:color="auto"/>
          </w:divBdr>
        </w:div>
        <w:div w:id="2025355013">
          <w:marLeft w:val="0"/>
          <w:marRight w:val="0"/>
          <w:marTop w:val="0"/>
          <w:marBottom w:val="0"/>
          <w:divBdr>
            <w:top w:val="none" w:sz="0" w:space="0" w:color="auto"/>
            <w:left w:val="none" w:sz="0" w:space="0" w:color="auto"/>
            <w:bottom w:val="none" w:sz="0" w:space="0" w:color="auto"/>
            <w:right w:val="none" w:sz="0" w:space="0" w:color="auto"/>
          </w:divBdr>
        </w:div>
        <w:div w:id="2082290048">
          <w:marLeft w:val="0"/>
          <w:marRight w:val="0"/>
          <w:marTop w:val="0"/>
          <w:marBottom w:val="0"/>
          <w:divBdr>
            <w:top w:val="none" w:sz="0" w:space="0" w:color="auto"/>
            <w:left w:val="none" w:sz="0" w:space="0" w:color="auto"/>
            <w:bottom w:val="none" w:sz="0" w:space="0" w:color="auto"/>
            <w:right w:val="none" w:sz="0" w:space="0" w:color="auto"/>
          </w:divBdr>
        </w:div>
        <w:div w:id="1880050207">
          <w:marLeft w:val="0"/>
          <w:marRight w:val="0"/>
          <w:marTop w:val="0"/>
          <w:marBottom w:val="0"/>
          <w:divBdr>
            <w:top w:val="none" w:sz="0" w:space="0" w:color="auto"/>
            <w:left w:val="none" w:sz="0" w:space="0" w:color="auto"/>
            <w:bottom w:val="none" w:sz="0" w:space="0" w:color="auto"/>
            <w:right w:val="none" w:sz="0" w:space="0" w:color="auto"/>
          </w:divBdr>
        </w:div>
        <w:div w:id="1309284904">
          <w:marLeft w:val="0"/>
          <w:marRight w:val="0"/>
          <w:marTop w:val="0"/>
          <w:marBottom w:val="0"/>
          <w:divBdr>
            <w:top w:val="none" w:sz="0" w:space="0" w:color="auto"/>
            <w:left w:val="none" w:sz="0" w:space="0" w:color="auto"/>
            <w:bottom w:val="none" w:sz="0" w:space="0" w:color="auto"/>
            <w:right w:val="none" w:sz="0" w:space="0" w:color="auto"/>
          </w:divBdr>
        </w:div>
        <w:div w:id="1936667063">
          <w:marLeft w:val="0"/>
          <w:marRight w:val="0"/>
          <w:marTop w:val="0"/>
          <w:marBottom w:val="0"/>
          <w:divBdr>
            <w:top w:val="none" w:sz="0" w:space="0" w:color="auto"/>
            <w:left w:val="none" w:sz="0" w:space="0" w:color="auto"/>
            <w:bottom w:val="none" w:sz="0" w:space="0" w:color="auto"/>
            <w:right w:val="none" w:sz="0" w:space="0" w:color="auto"/>
          </w:divBdr>
        </w:div>
        <w:div w:id="686249591">
          <w:marLeft w:val="0"/>
          <w:marRight w:val="0"/>
          <w:marTop w:val="0"/>
          <w:marBottom w:val="0"/>
          <w:divBdr>
            <w:top w:val="none" w:sz="0" w:space="0" w:color="auto"/>
            <w:left w:val="none" w:sz="0" w:space="0" w:color="auto"/>
            <w:bottom w:val="none" w:sz="0" w:space="0" w:color="auto"/>
            <w:right w:val="none" w:sz="0" w:space="0" w:color="auto"/>
          </w:divBdr>
        </w:div>
      </w:divsChild>
    </w:div>
    <w:div w:id="204098473">
      <w:bodyDiv w:val="1"/>
      <w:marLeft w:val="0"/>
      <w:marRight w:val="0"/>
      <w:marTop w:val="0"/>
      <w:marBottom w:val="0"/>
      <w:divBdr>
        <w:top w:val="none" w:sz="0" w:space="0" w:color="auto"/>
        <w:left w:val="none" w:sz="0" w:space="0" w:color="auto"/>
        <w:bottom w:val="none" w:sz="0" w:space="0" w:color="auto"/>
        <w:right w:val="none" w:sz="0" w:space="0" w:color="auto"/>
      </w:divBdr>
      <w:divsChild>
        <w:div w:id="1980918589">
          <w:marLeft w:val="0"/>
          <w:marRight w:val="0"/>
          <w:marTop w:val="0"/>
          <w:marBottom w:val="0"/>
          <w:divBdr>
            <w:top w:val="none" w:sz="0" w:space="0" w:color="auto"/>
            <w:left w:val="none" w:sz="0" w:space="0" w:color="auto"/>
            <w:bottom w:val="none" w:sz="0" w:space="0" w:color="auto"/>
            <w:right w:val="none" w:sz="0" w:space="0" w:color="auto"/>
          </w:divBdr>
        </w:div>
        <w:div w:id="421608125">
          <w:marLeft w:val="0"/>
          <w:marRight w:val="0"/>
          <w:marTop w:val="0"/>
          <w:marBottom w:val="0"/>
          <w:divBdr>
            <w:top w:val="none" w:sz="0" w:space="0" w:color="auto"/>
            <w:left w:val="none" w:sz="0" w:space="0" w:color="auto"/>
            <w:bottom w:val="none" w:sz="0" w:space="0" w:color="auto"/>
            <w:right w:val="none" w:sz="0" w:space="0" w:color="auto"/>
          </w:divBdr>
        </w:div>
        <w:div w:id="9186608">
          <w:marLeft w:val="0"/>
          <w:marRight w:val="0"/>
          <w:marTop w:val="0"/>
          <w:marBottom w:val="0"/>
          <w:divBdr>
            <w:top w:val="none" w:sz="0" w:space="0" w:color="auto"/>
            <w:left w:val="none" w:sz="0" w:space="0" w:color="auto"/>
            <w:bottom w:val="none" w:sz="0" w:space="0" w:color="auto"/>
            <w:right w:val="none" w:sz="0" w:space="0" w:color="auto"/>
          </w:divBdr>
        </w:div>
        <w:div w:id="839737765">
          <w:marLeft w:val="0"/>
          <w:marRight w:val="0"/>
          <w:marTop w:val="0"/>
          <w:marBottom w:val="0"/>
          <w:divBdr>
            <w:top w:val="none" w:sz="0" w:space="0" w:color="auto"/>
            <w:left w:val="none" w:sz="0" w:space="0" w:color="auto"/>
            <w:bottom w:val="none" w:sz="0" w:space="0" w:color="auto"/>
            <w:right w:val="none" w:sz="0" w:space="0" w:color="auto"/>
          </w:divBdr>
        </w:div>
      </w:divsChild>
    </w:div>
    <w:div w:id="720710495">
      <w:bodyDiv w:val="1"/>
      <w:marLeft w:val="0"/>
      <w:marRight w:val="0"/>
      <w:marTop w:val="0"/>
      <w:marBottom w:val="0"/>
      <w:divBdr>
        <w:top w:val="none" w:sz="0" w:space="0" w:color="auto"/>
        <w:left w:val="none" w:sz="0" w:space="0" w:color="auto"/>
        <w:bottom w:val="none" w:sz="0" w:space="0" w:color="auto"/>
        <w:right w:val="none" w:sz="0" w:space="0" w:color="auto"/>
      </w:divBdr>
      <w:divsChild>
        <w:div w:id="313998257">
          <w:marLeft w:val="0"/>
          <w:marRight w:val="0"/>
          <w:marTop w:val="0"/>
          <w:marBottom w:val="0"/>
          <w:divBdr>
            <w:top w:val="none" w:sz="0" w:space="0" w:color="auto"/>
            <w:left w:val="none" w:sz="0" w:space="0" w:color="auto"/>
            <w:bottom w:val="none" w:sz="0" w:space="0" w:color="auto"/>
            <w:right w:val="none" w:sz="0" w:space="0" w:color="auto"/>
          </w:divBdr>
        </w:div>
        <w:div w:id="224030873">
          <w:marLeft w:val="0"/>
          <w:marRight w:val="0"/>
          <w:marTop w:val="0"/>
          <w:marBottom w:val="0"/>
          <w:divBdr>
            <w:top w:val="none" w:sz="0" w:space="0" w:color="auto"/>
            <w:left w:val="none" w:sz="0" w:space="0" w:color="auto"/>
            <w:bottom w:val="none" w:sz="0" w:space="0" w:color="auto"/>
            <w:right w:val="none" w:sz="0" w:space="0" w:color="auto"/>
          </w:divBdr>
        </w:div>
        <w:div w:id="1026833081">
          <w:marLeft w:val="0"/>
          <w:marRight w:val="0"/>
          <w:marTop w:val="0"/>
          <w:marBottom w:val="0"/>
          <w:divBdr>
            <w:top w:val="none" w:sz="0" w:space="0" w:color="auto"/>
            <w:left w:val="none" w:sz="0" w:space="0" w:color="auto"/>
            <w:bottom w:val="none" w:sz="0" w:space="0" w:color="auto"/>
            <w:right w:val="none" w:sz="0" w:space="0" w:color="auto"/>
          </w:divBdr>
        </w:div>
        <w:div w:id="1943102909">
          <w:marLeft w:val="0"/>
          <w:marRight w:val="0"/>
          <w:marTop w:val="0"/>
          <w:marBottom w:val="0"/>
          <w:divBdr>
            <w:top w:val="none" w:sz="0" w:space="0" w:color="auto"/>
            <w:left w:val="none" w:sz="0" w:space="0" w:color="auto"/>
            <w:bottom w:val="none" w:sz="0" w:space="0" w:color="auto"/>
            <w:right w:val="none" w:sz="0" w:space="0" w:color="auto"/>
          </w:divBdr>
        </w:div>
      </w:divsChild>
    </w:div>
    <w:div w:id="809984576">
      <w:bodyDiv w:val="1"/>
      <w:marLeft w:val="0"/>
      <w:marRight w:val="0"/>
      <w:marTop w:val="0"/>
      <w:marBottom w:val="0"/>
      <w:divBdr>
        <w:top w:val="none" w:sz="0" w:space="0" w:color="auto"/>
        <w:left w:val="none" w:sz="0" w:space="0" w:color="auto"/>
        <w:bottom w:val="none" w:sz="0" w:space="0" w:color="auto"/>
        <w:right w:val="none" w:sz="0" w:space="0" w:color="auto"/>
      </w:divBdr>
      <w:divsChild>
        <w:div w:id="592052630">
          <w:marLeft w:val="0"/>
          <w:marRight w:val="0"/>
          <w:marTop w:val="0"/>
          <w:marBottom w:val="0"/>
          <w:divBdr>
            <w:top w:val="none" w:sz="0" w:space="0" w:color="auto"/>
            <w:left w:val="none" w:sz="0" w:space="0" w:color="auto"/>
            <w:bottom w:val="none" w:sz="0" w:space="0" w:color="auto"/>
            <w:right w:val="none" w:sz="0" w:space="0" w:color="auto"/>
          </w:divBdr>
        </w:div>
        <w:div w:id="1396781095">
          <w:marLeft w:val="0"/>
          <w:marRight w:val="0"/>
          <w:marTop w:val="0"/>
          <w:marBottom w:val="0"/>
          <w:divBdr>
            <w:top w:val="none" w:sz="0" w:space="0" w:color="auto"/>
            <w:left w:val="none" w:sz="0" w:space="0" w:color="auto"/>
            <w:bottom w:val="none" w:sz="0" w:space="0" w:color="auto"/>
            <w:right w:val="none" w:sz="0" w:space="0" w:color="auto"/>
          </w:divBdr>
        </w:div>
        <w:div w:id="1844005551">
          <w:marLeft w:val="0"/>
          <w:marRight w:val="0"/>
          <w:marTop w:val="0"/>
          <w:marBottom w:val="0"/>
          <w:divBdr>
            <w:top w:val="none" w:sz="0" w:space="0" w:color="auto"/>
            <w:left w:val="none" w:sz="0" w:space="0" w:color="auto"/>
            <w:bottom w:val="none" w:sz="0" w:space="0" w:color="auto"/>
            <w:right w:val="none" w:sz="0" w:space="0" w:color="auto"/>
          </w:divBdr>
        </w:div>
      </w:divsChild>
    </w:div>
    <w:div w:id="1104037187">
      <w:bodyDiv w:val="1"/>
      <w:marLeft w:val="0"/>
      <w:marRight w:val="0"/>
      <w:marTop w:val="0"/>
      <w:marBottom w:val="0"/>
      <w:divBdr>
        <w:top w:val="none" w:sz="0" w:space="0" w:color="auto"/>
        <w:left w:val="none" w:sz="0" w:space="0" w:color="auto"/>
        <w:bottom w:val="none" w:sz="0" w:space="0" w:color="auto"/>
        <w:right w:val="none" w:sz="0" w:space="0" w:color="auto"/>
      </w:divBdr>
      <w:divsChild>
        <w:div w:id="1254823854">
          <w:marLeft w:val="0"/>
          <w:marRight w:val="0"/>
          <w:marTop w:val="0"/>
          <w:marBottom w:val="0"/>
          <w:divBdr>
            <w:top w:val="none" w:sz="0" w:space="0" w:color="auto"/>
            <w:left w:val="none" w:sz="0" w:space="0" w:color="auto"/>
            <w:bottom w:val="none" w:sz="0" w:space="0" w:color="auto"/>
            <w:right w:val="none" w:sz="0" w:space="0" w:color="auto"/>
          </w:divBdr>
        </w:div>
        <w:div w:id="258485029">
          <w:marLeft w:val="0"/>
          <w:marRight w:val="0"/>
          <w:marTop w:val="0"/>
          <w:marBottom w:val="0"/>
          <w:divBdr>
            <w:top w:val="none" w:sz="0" w:space="0" w:color="auto"/>
            <w:left w:val="none" w:sz="0" w:space="0" w:color="auto"/>
            <w:bottom w:val="none" w:sz="0" w:space="0" w:color="auto"/>
            <w:right w:val="none" w:sz="0" w:space="0" w:color="auto"/>
          </w:divBdr>
        </w:div>
        <w:div w:id="1274095594">
          <w:marLeft w:val="0"/>
          <w:marRight w:val="0"/>
          <w:marTop w:val="0"/>
          <w:marBottom w:val="0"/>
          <w:divBdr>
            <w:top w:val="none" w:sz="0" w:space="0" w:color="auto"/>
            <w:left w:val="none" w:sz="0" w:space="0" w:color="auto"/>
            <w:bottom w:val="none" w:sz="0" w:space="0" w:color="auto"/>
            <w:right w:val="none" w:sz="0" w:space="0" w:color="auto"/>
          </w:divBdr>
        </w:div>
      </w:divsChild>
    </w:div>
    <w:div w:id="1691374957">
      <w:bodyDiv w:val="1"/>
      <w:marLeft w:val="0"/>
      <w:marRight w:val="0"/>
      <w:marTop w:val="0"/>
      <w:marBottom w:val="0"/>
      <w:divBdr>
        <w:top w:val="none" w:sz="0" w:space="0" w:color="auto"/>
        <w:left w:val="none" w:sz="0" w:space="0" w:color="auto"/>
        <w:bottom w:val="none" w:sz="0" w:space="0" w:color="auto"/>
        <w:right w:val="none" w:sz="0" w:space="0" w:color="auto"/>
      </w:divBdr>
      <w:divsChild>
        <w:div w:id="585311821">
          <w:marLeft w:val="0"/>
          <w:marRight w:val="0"/>
          <w:marTop w:val="0"/>
          <w:marBottom w:val="0"/>
          <w:divBdr>
            <w:top w:val="none" w:sz="0" w:space="0" w:color="auto"/>
            <w:left w:val="none" w:sz="0" w:space="0" w:color="auto"/>
            <w:bottom w:val="none" w:sz="0" w:space="0" w:color="auto"/>
            <w:right w:val="none" w:sz="0" w:space="0" w:color="auto"/>
          </w:divBdr>
        </w:div>
        <w:div w:id="1734500315">
          <w:marLeft w:val="0"/>
          <w:marRight w:val="0"/>
          <w:marTop w:val="0"/>
          <w:marBottom w:val="0"/>
          <w:divBdr>
            <w:top w:val="none" w:sz="0" w:space="0" w:color="auto"/>
            <w:left w:val="none" w:sz="0" w:space="0" w:color="auto"/>
            <w:bottom w:val="none" w:sz="0" w:space="0" w:color="auto"/>
            <w:right w:val="none" w:sz="0" w:space="0" w:color="auto"/>
          </w:divBdr>
        </w:div>
        <w:div w:id="714282097">
          <w:marLeft w:val="0"/>
          <w:marRight w:val="0"/>
          <w:marTop w:val="0"/>
          <w:marBottom w:val="0"/>
          <w:divBdr>
            <w:top w:val="none" w:sz="0" w:space="0" w:color="auto"/>
            <w:left w:val="none" w:sz="0" w:space="0" w:color="auto"/>
            <w:bottom w:val="none" w:sz="0" w:space="0" w:color="auto"/>
            <w:right w:val="none" w:sz="0" w:space="0" w:color="auto"/>
          </w:divBdr>
        </w:div>
        <w:div w:id="1163812878">
          <w:marLeft w:val="0"/>
          <w:marRight w:val="0"/>
          <w:marTop w:val="0"/>
          <w:marBottom w:val="0"/>
          <w:divBdr>
            <w:top w:val="none" w:sz="0" w:space="0" w:color="auto"/>
            <w:left w:val="none" w:sz="0" w:space="0" w:color="auto"/>
            <w:bottom w:val="none" w:sz="0" w:space="0" w:color="auto"/>
            <w:right w:val="none" w:sz="0" w:space="0" w:color="auto"/>
          </w:divBdr>
        </w:div>
        <w:div w:id="1060128771">
          <w:marLeft w:val="0"/>
          <w:marRight w:val="0"/>
          <w:marTop w:val="0"/>
          <w:marBottom w:val="0"/>
          <w:divBdr>
            <w:top w:val="none" w:sz="0" w:space="0" w:color="auto"/>
            <w:left w:val="none" w:sz="0" w:space="0" w:color="auto"/>
            <w:bottom w:val="none" w:sz="0" w:space="0" w:color="auto"/>
            <w:right w:val="none" w:sz="0" w:space="0" w:color="auto"/>
          </w:divBdr>
        </w:div>
        <w:div w:id="712117737">
          <w:marLeft w:val="0"/>
          <w:marRight w:val="0"/>
          <w:marTop w:val="0"/>
          <w:marBottom w:val="0"/>
          <w:divBdr>
            <w:top w:val="none" w:sz="0" w:space="0" w:color="auto"/>
            <w:left w:val="none" w:sz="0" w:space="0" w:color="auto"/>
            <w:bottom w:val="none" w:sz="0" w:space="0" w:color="auto"/>
            <w:right w:val="none" w:sz="0" w:space="0" w:color="auto"/>
          </w:divBdr>
        </w:div>
        <w:div w:id="20565366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341</TotalTime>
  <Pages>3</Pages>
  <Words>391</Words>
  <Characters>2230</Characters>
  <Application>Microsoft Office Word</Application>
  <DocSecurity>0</DocSecurity>
  <Lines>18</Lines>
  <Paragraphs>5</Paragraphs>
  <ScaleCrop>false</ScaleCrop>
  <Company/>
  <LinksUpToDate>false</LinksUpToDate>
  <CharactersWithSpaces>2616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16</cp:revision>
  <dcterms:created xsi:type="dcterms:W3CDTF">2024-09-30T17:02:00Z</dcterms:created>
  <dcterms:modified xsi:type="dcterms:W3CDTF">2024-10-21T08:49:00Z</dcterms:modified>
</cp:coreProperties>
</file>